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DF3" w:rsidRPr="005D3C9B" w:rsidRDefault="00F97DF3" w:rsidP="00F97DF3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CF29C5">
        <w:t>TSG-RAN WG1 #</w:t>
      </w:r>
      <w:r>
        <w:t>87</w:t>
      </w:r>
      <w:r w:rsidRPr="00CF29C5">
        <w:tab/>
      </w:r>
      <w:r w:rsidRPr="005D3C9B">
        <w:t>R1-1612915</w:t>
      </w:r>
    </w:p>
    <w:p w:rsidR="00F97DF3" w:rsidRPr="005D3C9B" w:rsidRDefault="00F97DF3" w:rsidP="00F97DF3">
      <w:pPr>
        <w:pStyle w:val="Header"/>
        <w:rPr>
          <w:color w:val="000000"/>
        </w:rPr>
      </w:pPr>
      <w:r w:rsidRPr="005D3C9B">
        <w:t>Reno, US, November 14– 18, 2016</w:t>
      </w:r>
    </w:p>
    <w:p w:rsidR="00F97DF3" w:rsidRPr="005D3C9B" w:rsidRDefault="00F97DF3" w:rsidP="00F97DF3">
      <w:pPr>
        <w:pStyle w:val="Header"/>
      </w:pPr>
    </w:p>
    <w:p w:rsidR="00F97DF3" w:rsidRPr="005D3C9B" w:rsidRDefault="00F97DF3" w:rsidP="00F97DF3">
      <w:pPr>
        <w:pStyle w:val="Header"/>
        <w:tabs>
          <w:tab w:val="clear" w:pos="4536"/>
          <w:tab w:val="left" w:pos="1800"/>
        </w:tabs>
        <w:ind w:left="1800" w:hanging="1800"/>
      </w:pPr>
      <w:r w:rsidRPr="005D3C9B">
        <w:t>Source:</w:t>
      </w:r>
      <w:r w:rsidRPr="005D3C9B">
        <w:tab/>
        <w:t>Ericsson</w:t>
      </w:r>
    </w:p>
    <w:p w:rsidR="00F97DF3" w:rsidRPr="005D3C9B" w:rsidRDefault="00F97DF3" w:rsidP="00F97DF3">
      <w:pPr>
        <w:pStyle w:val="Header"/>
        <w:tabs>
          <w:tab w:val="clear" w:pos="4536"/>
          <w:tab w:val="left" w:pos="1800"/>
        </w:tabs>
      </w:pPr>
      <w:r w:rsidRPr="005D3C9B">
        <w:t>Title:</w:t>
      </w:r>
      <w:bookmarkStart w:id="1" w:name="Title"/>
      <w:bookmarkEnd w:id="1"/>
      <w:r w:rsidRPr="005D3C9B">
        <w:tab/>
        <w:t>On link-budget of NR PDCCH</w:t>
      </w:r>
    </w:p>
    <w:p w:rsidR="00F97DF3" w:rsidRPr="005D3C9B" w:rsidRDefault="00F97DF3" w:rsidP="00F97DF3">
      <w:pPr>
        <w:pStyle w:val="Header"/>
        <w:tabs>
          <w:tab w:val="left" w:pos="1800"/>
        </w:tabs>
      </w:pPr>
      <w:r w:rsidRPr="005D3C9B">
        <w:t>Agenda Item:</w:t>
      </w:r>
      <w:bookmarkStart w:id="2" w:name="Source"/>
      <w:bookmarkEnd w:id="2"/>
      <w:r w:rsidRPr="005D3C9B">
        <w:tab/>
        <w:t>7.1.4.1</w:t>
      </w:r>
    </w:p>
    <w:p w:rsidR="00F97DF3" w:rsidRPr="005D3C9B" w:rsidRDefault="00F97DF3" w:rsidP="00F97DF3">
      <w:pPr>
        <w:pStyle w:val="Header"/>
        <w:tabs>
          <w:tab w:val="left" w:pos="1800"/>
        </w:tabs>
      </w:pPr>
      <w:r w:rsidRPr="005D3C9B">
        <w:t>Document for:</w:t>
      </w:r>
      <w:r w:rsidRPr="005D3C9B">
        <w:tab/>
      </w:r>
      <w:bookmarkStart w:id="3" w:name="DocumentFor"/>
      <w:bookmarkEnd w:id="3"/>
      <w:r w:rsidRPr="005D3C9B">
        <w:t>Discussion and Decision</w:t>
      </w:r>
    </w:p>
    <w:p w:rsidR="00F97DF3" w:rsidRPr="005D3C9B" w:rsidRDefault="00F97DF3" w:rsidP="00F97DF3">
      <w:pPr>
        <w:pBdr>
          <w:bottom w:val="single" w:sz="4" w:space="1" w:color="auto"/>
        </w:pBdr>
        <w:tabs>
          <w:tab w:val="left" w:pos="2552"/>
        </w:tabs>
      </w:pPr>
    </w:p>
    <w:p w:rsidR="00F97DF3" w:rsidRPr="005D3C9B" w:rsidRDefault="00F97DF3" w:rsidP="00F97DF3">
      <w:pPr>
        <w:pStyle w:val="Heading1"/>
        <w:spacing w:before="180"/>
        <w:ind w:left="562" w:hanging="562"/>
      </w:pPr>
      <w:r w:rsidRPr="005D3C9B">
        <w:t>Introduction</w:t>
      </w:r>
    </w:p>
    <w:p w:rsidR="00F97DF3" w:rsidRDefault="00F97DF3" w:rsidP="00F97DF3">
      <w:pPr>
        <w:pStyle w:val="BodyText"/>
      </w:pPr>
      <w:r w:rsidRPr="005D3C9B">
        <w:t>In [1], we presented some high-level design principles of downlink control channel (PDCCH) for</w:t>
      </w:r>
      <w:r>
        <w:t xml:space="preserve"> NR. Based on these principles, following agreements were made in RAN1#86bis regarding the NR-PDCCH design:</w:t>
      </w:r>
    </w:p>
    <w:p w:rsidR="00F97DF3" w:rsidRPr="00732839" w:rsidRDefault="00F97DF3" w:rsidP="00F97DF3">
      <w:pPr>
        <w:rPr>
          <w:rFonts w:eastAsia="MS Mincho"/>
          <w:b/>
          <w:highlight w:val="yellow"/>
          <w:u w:val="single"/>
          <w:lang w:eastAsia="ja-JP"/>
        </w:rPr>
      </w:pPr>
      <w:r w:rsidRPr="000873F6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F97DF3" w:rsidRDefault="00F97DF3" w:rsidP="00F97DF3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From </w:t>
      </w:r>
      <w:proofErr w:type="spellStart"/>
      <w:r>
        <w:rPr>
          <w:rFonts w:eastAsia="MS Mincho" w:hint="eastAsia"/>
          <w:lang w:eastAsia="ja-JP"/>
        </w:rPr>
        <w:t>gNB</w:t>
      </w:r>
      <w:proofErr w:type="spellEnd"/>
      <w:r>
        <w:rPr>
          <w:rFonts w:eastAsia="MS Mincho" w:hint="eastAsia"/>
          <w:lang w:eastAsia="ja-JP"/>
        </w:rPr>
        <w:t xml:space="preserve"> perspective, </w:t>
      </w:r>
      <w:r w:rsidRPr="00937B90">
        <w:rPr>
          <w:rFonts w:eastAsia="MS Mincho" w:hint="eastAsia"/>
          <w:lang w:eastAsia="ja-JP"/>
        </w:rPr>
        <w:t xml:space="preserve">DL control </w:t>
      </w:r>
      <w:r w:rsidRPr="00937B90">
        <w:rPr>
          <w:rFonts w:eastAsia="MS Mincho"/>
          <w:lang w:eastAsia="ja-JP"/>
        </w:rPr>
        <w:t>signaling</w:t>
      </w:r>
      <w:r w:rsidRPr="00937B90">
        <w:rPr>
          <w:rFonts w:eastAsia="MS Mincho" w:hint="eastAsia"/>
          <w:lang w:eastAsia="ja-JP"/>
        </w:rPr>
        <w:t xml:space="preserve"> ca</w:t>
      </w:r>
      <w:r w:rsidRPr="00937B90">
        <w:rPr>
          <w:rFonts w:eastAsia="MS Mincho"/>
          <w:lang w:eastAsia="ja-JP"/>
        </w:rPr>
        <w:t>n be located at the first OFDM symbo</w:t>
      </w:r>
      <w:r>
        <w:rPr>
          <w:rFonts w:eastAsia="MS Mincho"/>
          <w:lang w:eastAsia="ja-JP"/>
        </w:rPr>
        <w:t>l(s) in a slot and/or mini-slot</w:t>
      </w:r>
    </w:p>
    <w:p w:rsidR="00F97DF3" w:rsidRDefault="00F97DF3" w:rsidP="00F97DF3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From </w:t>
      </w:r>
      <w:proofErr w:type="spellStart"/>
      <w:r>
        <w:rPr>
          <w:rFonts w:eastAsia="MS Mincho" w:hint="eastAsia"/>
          <w:lang w:eastAsia="ja-JP"/>
        </w:rPr>
        <w:t>gNB</w:t>
      </w:r>
      <w:proofErr w:type="spellEnd"/>
      <w:r>
        <w:rPr>
          <w:rFonts w:eastAsia="MS Mincho" w:hint="eastAsia"/>
          <w:lang w:eastAsia="ja-JP"/>
        </w:rPr>
        <w:t xml:space="preserve"> perspective, </w:t>
      </w:r>
      <w:r w:rsidRPr="00937B90">
        <w:rPr>
          <w:rFonts w:eastAsia="MS Mincho" w:hint="eastAsia"/>
          <w:lang w:eastAsia="ja-JP"/>
        </w:rPr>
        <w:t xml:space="preserve">DL control </w:t>
      </w:r>
      <w:r w:rsidRPr="00937B90">
        <w:rPr>
          <w:rFonts w:eastAsia="MS Mincho"/>
          <w:lang w:eastAsia="ja-JP"/>
        </w:rPr>
        <w:t>signaling</w:t>
      </w:r>
      <w:r w:rsidRPr="00937B90">
        <w:rPr>
          <w:rFonts w:eastAsia="MS Mincho" w:hint="eastAsia"/>
          <w:lang w:eastAsia="ja-JP"/>
        </w:rPr>
        <w:t xml:space="preserve"> ca</w:t>
      </w:r>
      <w:r w:rsidRPr="00937B90">
        <w:rPr>
          <w:rFonts w:eastAsia="MS Mincho"/>
          <w:lang w:eastAsia="ja-JP"/>
        </w:rPr>
        <w:t xml:space="preserve">n be located </w:t>
      </w:r>
      <w:r>
        <w:rPr>
          <w:rFonts w:eastAsia="MS Mincho" w:hint="eastAsia"/>
          <w:lang w:eastAsia="ja-JP"/>
        </w:rPr>
        <w:t>over the slot and/or mini-slot</w:t>
      </w:r>
    </w:p>
    <w:p w:rsidR="00F97DF3" w:rsidRPr="00671DE0" w:rsidRDefault="00F97DF3" w:rsidP="00F97DF3">
      <w:pPr>
        <w:rPr>
          <w:rFonts w:eastAsia="MS Mincho"/>
          <w:b/>
          <w:u w:val="single"/>
          <w:lang w:eastAsia="ja-JP"/>
        </w:rPr>
      </w:pPr>
      <w:r w:rsidRPr="008E62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F97DF3" w:rsidRDefault="00F97DF3" w:rsidP="00F97DF3">
      <w:pPr>
        <w:widowControl w:val="0"/>
        <w:numPr>
          <w:ilvl w:val="0"/>
          <w:numId w:val="3"/>
        </w:numPr>
        <w:tabs>
          <w:tab w:val="clear" w:pos="360"/>
          <w:tab w:val="num" w:pos="720"/>
        </w:tabs>
        <w:jc w:val="both"/>
      </w:pPr>
      <w:r>
        <w:rPr>
          <w:rFonts w:hint="eastAsia"/>
        </w:rPr>
        <w:t>NR should support at least the following.</w:t>
      </w:r>
    </w:p>
    <w:p w:rsidR="00F97DF3" w:rsidRDefault="00F97DF3" w:rsidP="00F97DF3">
      <w:pPr>
        <w:widowControl w:val="0"/>
        <w:numPr>
          <w:ilvl w:val="1"/>
          <w:numId w:val="3"/>
        </w:numPr>
        <w:jc w:val="both"/>
      </w:pPr>
      <w:r>
        <w:t>In frequency-domain, a</w:t>
      </w:r>
      <w:r w:rsidRPr="004805E3">
        <w:t xml:space="preserve"> PRB (or a multiple of PRBs) is the resource unit size</w:t>
      </w:r>
      <w:r>
        <w:t xml:space="preserve"> (may or may not including DM-RS)</w:t>
      </w:r>
      <w:r w:rsidRPr="004805E3">
        <w:t xml:space="preserve"> for control</w:t>
      </w:r>
      <w:r>
        <w:t xml:space="preserve"> channel</w:t>
      </w:r>
    </w:p>
    <w:p w:rsidR="00F97DF3" w:rsidRPr="006475A1" w:rsidRDefault="00F97DF3" w:rsidP="00F97DF3">
      <w:pPr>
        <w:widowControl w:val="0"/>
        <w:numPr>
          <w:ilvl w:val="2"/>
          <w:numId w:val="3"/>
        </w:numPr>
        <w:jc w:val="both"/>
      </w:pPr>
      <w:r>
        <w:t>This is at least for the case where the DL control region consists of one or a few OFDM symbol(s) of a slot or a mini-slot</w:t>
      </w:r>
    </w:p>
    <w:p w:rsidR="00F97DF3" w:rsidRDefault="00F97DF3" w:rsidP="00F97DF3">
      <w:pPr>
        <w:widowControl w:val="0"/>
        <w:numPr>
          <w:ilvl w:val="2"/>
          <w:numId w:val="3"/>
        </w:numPr>
        <w:jc w:val="both"/>
      </w:pPr>
      <w:r>
        <w:rPr>
          <w:rFonts w:hint="eastAsia"/>
        </w:rPr>
        <w:t>FFS: whether a PRB or a multiple PRBs is the resource unit size</w:t>
      </w:r>
    </w:p>
    <w:p w:rsidR="00F97DF3" w:rsidRPr="004805E3" w:rsidRDefault="00F97DF3" w:rsidP="00F97DF3">
      <w:pPr>
        <w:widowControl w:val="0"/>
        <w:numPr>
          <w:ilvl w:val="3"/>
          <w:numId w:val="3"/>
        </w:numPr>
        <w:jc w:val="both"/>
      </w:pPr>
      <w:r w:rsidRPr="00B34DB6">
        <w:rPr>
          <w:rFonts w:eastAsia="MS Mincho" w:hint="eastAsia"/>
          <w:lang w:eastAsia="ja-JP"/>
        </w:rPr>
        <w:t xml:space="preserve">FFS: </w:t>
      </w:r>
      <w:r>
        <w:t>If multiple PRBs is the resource unit size, the multiple PRBs are contiguous</w:t>
      </w:r>
    </w:p>
    <w:p w:rsidR="00F97DF3" w:rsidRPr="00015950" w:rsidRDefault="00F97DF3" w:rsidP="00F97DF3">
      <w:pPr>
        <w:widowControl w:val="0"/>
        <w:numPr>
          <w:ilvl w:val="1"/>
          <w:numId w:val="3"/>
        </w:numPr>
        <w:jc w:val="both"/>
      </w:pPr>
      <w:r>
        <w:t>FFS: whether the resource unit size for a DL control channel is called as NR-REG or not</w:t>
      </w:r>
    </w:p>
    <w:p w:rsidR="00F97DF3" w:rsidRPr="005939A3" w:rsidRDefault="00F97DF3" w:rsidP="00F97DF3">
      <w:pPr>
        <w:rPr>
          <w:b/>
          <w:u w:val="single"/>
        </w:rPr>
      </w:pPr>
      <w:r w:rsidRPr="008E62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F97DF3" w:rsidRDefault="00F97DF3" w:rsidP="00F97DF3">
      <w:pPr>
        <w:widowControl w:val="0"/>
        <w:numPr>
          <w:ilvl w:val="0"/>
          <w:numId w:val="3"/>
        </w:numPr>
        <w:tabs>
          <w:tab w:val="clear" w:pos="360"/>
          <w:tab w:val="num" w:pos="720"/>
        </w:tabs>
        <w:jc w:val="both"/>
      </w:pPr>
      <w:r>
        <w:rPr>
          <w:rFonts w:hint="eastAsia"/>
        </w:rPr>
        <w:t>NR should support at least the following</w:t>
      </w:r>
    </w:p>
    <w:p w:rsidR="00F97DF3" w:rsidRPr="00E27F22" w:rsidRDefault="00F97DF3" w:rsidP="00F97DF3">
      <w:pPr>
        <w:widowControl w:val="0"/>
        <w:numPr>
          <w:ilvl w:val="1"/>
          <w:numId w:val="3"/>
        </w:numPr>
        <w:jc w:val="both"/>
      </w:pPr>
      <w:r>
        <w:t xml:space="preserve">A </w:t>
      </w:r>
      <w:r>
        <w:rPr>
          <w:rFonts w:hint="eastAsia"/>
        </w:rPr>
        <w:t xml:space="preserve">DL control channel can </w:t>
      </w:r>
      <w:r>
        <w:t>be mapped on one or more NR-CCEs</w:t>
      </w:r>
    </w:p>
    <w:p w:rsidR="00F97DF3" w:rsidRDefault="00F97DF3" w:rsidP="00F97DF3">
      <w:pPr>
        <w:widowControl w:val="0"/>
        <w:numPr>
          <w:ilvl w:val="2"/>
          <w:numId w:val="3"/>
        </w:numPr>
        <w:jc w:val="both"/>
      </w:pPr>
      <w:r>
        <w:t>This is at least for the case where the DL control region consists of one or a few OFDM symbol(s) of a slot or a mini-slot</w:t>
      </w:r>
    </w:p>
    <w:p w:rsidR="00F97DF3" w:rsidRDefault="00F97DF3" w:rsidP="00F97DF3">
      <w:pPr>
        <w:widowControl w:val="0"/>
        <w:numPr>
          <w:ilvl w:val="2"/>
          <w:numId w:val="3"/>
        </w:numPr>
        <w:jc w:val="both"/>
      </w:pPr>
      <w:r>
        <w:t>A</w:t>
      </w:r>
      <w:r w:rsidRPr="004805E3">
        <w:t xml:space="preserve"> NR-CCE includes a </w:t>
      </w:r>
      <w:r>
        <w:t xml:space="preserve">positive integer </w:t>
      </w:r>
      <w:r w:rsidRPr="004805E3">
        <w:t>number of PRBs</w:t>
      </w:r>
      <w:r w:rsidRPr="00B34DB6">
        <w:rPr>
          <w:rFonts w:eastAsia="MS Mincho" w:hint="eastAsia"/>
          <w:lang w:eastAsia="ja-JP"/>
        </w:rPr>
        <w:t xml:space="preserve"> (FFS: exact value)</w:t>
      </w:r>
    </w:p>
    <w:p w:rsidR="00F97DF3" w:rsidRDefault="00F97DF3" w:rsidP="00F97DF3">
      <w:pPr>
        <w:widowControl w:val="0"/>
        <w:numPr>
          <w:ilvl w:val="3"/>
          <w:numId w:val="3"/>
        </w:numPr>
        <w:jc w:val="both"/>
      </w:pPr>
      <w:r>
        <w:t xml:space="preserve">FFS: whether a </w:t>
      </w:r>
      <w:r>
        <w:rPr>
          <w:rFonts w:hint="eastAsia"/>
        </w:rPr>
        <w:t>NR-CCE</w:t>
      </w:r>
      <w:r>
        <w:t xml:space="preserve"> contains contiguous PRBs</w:t>
      </w:r>
    </w:p>
    <w:p w:rsidR="00F97DF3" w:rsidRPr="006475A1" w:rsidRDefault="00F97DF3" w:rsidP="00F97DF3">
      <w:pPr>
        <w:widowControl w:val="0"/>
        <w:numPr>
          <w:ilvl w:val="3"/>
          <w:numId w:val="3"/>
        </w:numPr>
        <w:jc w:val="both"/>
      </w:pPr>
      <w:r w:rsidRPr="00B34DB6">
        <w:rPr>
          <w:rFonts w:eastAsia="MS Mincho" w:hint="eastAsia"/>
          <w:lang w:eastAsia="ja-JP"/>
        </w:rPr>
        <w:t>FFS: whether multiple NR-CCEs may share one or more PRBs</w:t>
      </w:r>
    </w:p>
    <w:p w:rsidR="00F97DF3" w:rsidRDefault="00F97DF3" w:rsidP="00F97DF3">
      <w:pPr>
        <w:widowControl w:val="0"/>
        <w:numPr>
          <w:ilvl w:val="1"/>
          <w:numId w:val="3"/>
        </w:numPr>
        <w:jc w:val="both"/>
      </w:pPr>
      <w:r>
        <w:t>FFS: whether NR-CCE is mapped on frequency-domain only or on both frequency and time-domain.</w:t>
      </w:r>
    </w:p>
    <w:p w:rsidR="00F97DF3" w:rsidRDefault="00F97DF3" w:rsidP="00F97DF3">
      <w:pPr>
        <w:widowControl w:val="0"/>
        <w:ind w:left="1080"/>
        <w:jc w:val="both"/>
      </w:pPr>
    </w:p>
    <w:p w:rsidR="00F97DF3" w:rsidRPr="00A64A61" w:rsidRDefault="00F97DF3" w:rsidP="00F97DF3">
      <w:pPr>
        <w:pStyle w:val="BodyText"/>
      </w:pPr>
      <w:r>
        <w:t xml:space="preserve">In this paper, we analyze the coverage of NR PDCCH channel occupying only one OFDM symbol as compared to multi-symbol PDCCH for two different DCI sizes (24 bits + 64 bits) using localized mapping on frequency domain (i.e. NR-CCE contains contiguous PRBs).  </w:t>
      </w:r>
    </w:p>
    <w:p w:rsidR="00F97DF3" w:rsidRDefault="00F97DF3" w:rsidP="00F97DF3">
      <w:pPr>
        <w:pStyle w:val="Heading1"/>
        <w:spacing w:before="180"/>
        <w:ind w:left="562" w:hanging="562"/>
      </w:pPr>
      <w:r>
        <w:t>Discussion</w:t>
      </w:r>
    </w:p>
    <w:p w:rsidR="00F97DF3" w:rsidRDefault="00F97DF3" w:rsidP="00F97DF3">
      <w:pPr>
        <w:pStyle w:val="Heading2"/>
        <w:ind w:left="567"/>
      </w:pPr>
      <w:r w:rsidRPr="00726975">
        <w:t>Evaluation Assumptions</w:t>
      </w:r>
    </w:p>
    <w:p w:rsidR="00F97DF3" w:rsidRDefault="00F97DF3" w:rsidP="00F97DF3">
      <w:pPr>
        <w:pStyle w:val="BodyText"/>
      </w:pPr>
      <w:r>
        <w:t xml:space="preserve">Table 1 summarizes the simulation assumptions used.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F97DF3" w:rsidRPr="00D32D4F" w:rsidTr="000C565E">
        <w:tc>
          <w:tcPr>
            <w:tcW w:w="4536" w:type="dxa"/>
          </w:tcPr>
          <w:p w:rsidR="00F97DF3" w:rsidRPr="00D32D4F" w:rsidRDefault="00F97DF3" w:rsidP="000C565E">
            <w:pPr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4526" w:type="dxa"/>
          </w:tcPr>
          <w:p w:rsidR="00F97DF3" w:rsidRPr="00D32D4F" w:rsidRDefault="00F97DF3" w:rsidP="000C565E">
            <w:pPr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>Numerology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>15kHz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 xml:space="preserve">FFT size 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 xml:space="preserve">2048 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>Resource element group (REG) size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 xml:space="preserve">12 </w:t>
            </w:r>
            <w:r w:rsidRPr="005D3C9B">
              <w:t>subcarriers [2]</w:t>
            </w:r>
          </w:p>
        </w:tc>
      </w:tr>
      <w:tr w:rsidR="00F97DF3" w:rsidRPr="00D32D4F" w:rsidTr="000C565E">
        <w:trPr>
          <w:trHeight w:val="47"/>
        </w:trPr>
        <w:tc>
          <w:tcPr>
            <w:tcW w:w="4536" w:type="dxa"/>
            <w:vAlign w:val="center"/>
          </w:tcPr>
          <w:p w:rsidR="00F97DF3" w:rsidRPr="00D32D4F" w:rsidRDefault="00F97DF3" w:rsidP="000C565E">
            <w:r>
              <w:t>Modulation scheme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>QPSK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>Channel codec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>LTE TBCC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 xml:space="preserve">PDCCH payload sizes 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>24 bits and 64 bits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>CRC size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>16 bits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>Antenna ports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proofErr w:type="spellStart"/>
            <w:r>
              <w:t>Tx</w:t>
            </w:r>
            <w:proofErr w:type="spellEnd"/>
            <w:r>
              <w:t>: 2    Rx: 2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>Transmit diversity scheme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>SFBC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>RS overhead per PDCCH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>50% (3 RS per antenna per RB, every 4</w:t>
            </w:r>
            <w:r w:rsidRPr="00211002">
              <w:rPr>
                <w:vertAlign w:val="superscript"/>
              </w:rPr>
              <w:t>th</w:t>
            </w:r>
            <w:r>
              <w:t xml:space="preserve"> subcarrier) 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Default="00F97DF3" w:rsidP="000C565E">
            <w:r>
              <w:t xml:space="preserve">PDCCH frequency mapping </w:t>
            </w:r>
          </w:p>
        </w:tc>
        <w:tc>
          <w:tcPr>
            <w:tcW w:w="4526" w:type="dxa"/>
            <w:vAlign w:val="center"/>
          </w:tcPr>
          <w:p w:rsidR="00F97DF3" w:rsidRDefault="00F97DF3" w:rsidP="000C565E">
            <w:r>
              <w:t xml:space="preserve">Fully localized (Contiguous PRB &amp; CCE) 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Default="00F97DF3" w:rsidP="000C565E">
            <w:r>
              <w:t>Aggregation level (AL)</w:t>
            </w:r>
          </w:p>
        </w:tc>
        <w:tc>
          <w:tcPr>
            <w:tcW w:w="4526" w:type="dxa"/>
            <w:vAlign w:val="center"/>
          </w:tcPr>
          <w:p w:rsidR="00F97DF3" w:rsidRDefault="00F97DF3" w:rsidP="000C565E">
            <w:r>
              <w:t xml:space="preserve">2 </w:t>
            </w:r>
          </w:p>
        </w:tc>
      </w:tr>
      <w:tr w:rsidR="00F97DF3" w:rsidRPr="00D32D4F" w:rsidTr="000C565E">
        <w:tc>
          <w:tcPr>
            <w:tcW w:w="4536" w:type="dxa"/>
            <w:vAlign w:val="center"/>
          </w:tcPr>
          <w:p w:rsidR="00F97DF3" w:rsidRPr="00D32D4F" w:rsidRDefault="00F97DF3" w:rsidP="000C565E">
            <w:r>
              <w:t>Channel model</w:t>
            </w:r>
          </w:p>
        </w:tc>
        <w:tc>
          <w:tcPr>
            <w:tcW w:w="4526" w:type="dxa"/>
            <w:vAlign w:val="center"/>
          </w:tcPr>
          <w:p w:rsidR="00F97DF3" w:rsidRPr="00D32D4F" w:rsidRDefault="00F97DF3" w:rsidP="000C565E">
            <w:r>
              <w:t>TDL-A with 100ns and 1000ns RMS delay spreads</w:t>
            </w:r>
          </w:p>
        </w:tc>
      </w:tr>
    </w:tbl>
    <w:p w:rsidR="00F97DF3" w:rsidRDefault="00F97DF3" w:rsidP="00F97DF3">
      <w:pPr>
        <w:pStyle w:val="Heading2"/>
        <w:ind w:left="567"/>
      </w:pPr>
      <w:r>
        <w:lastRenderedPageBreak/>
        <w:t>Performance Results</w:t>
      </w:r>
    </w:p>
    <w:p w:rsidR="00F97DF3" w:rsidRPr="00680D19" w:rsidRDefault="00F97DF3" w:rsidP="00F97DF3">
      <w:pPr>
        <w:pStyle w:val="BodyText"/>
      </w:pPr>
      <w:r>
        <w:t xml:space="preserve">Figure 1 and Figure 2 show the BLER performance of PDCCH in terms of SNR per subcarrier with 24bits and 64bits DCI payload sizes. ‘Red curves’ show the performance of multi-symbol PDCCH whereas the ‘orange curves’ show the performance of single-symbol PDCCH. We can observe that the </w:t>
      </w:r>
      <w:r w:rsidRPr="005D3C9B">
        <w:t>link performance remains similar for either spreading PDCCH in time domain or frequency domain. As discussed in [3], choosing one OFDM symbol long PDCCH channel for NR decrease the scheduling complexity for semi-statically configured</w:t>
      </w:r>
      <w:r>
        <w:t xml:space="preserve"> duration of downlink control search space. </w:t>
      </w:r>
    </w:p>
    <w:p w:rsidR="00F97DF3" w:rsidRDefault="00F97DF3" w:rsidP="00F97DF3">
      <w:pPr>
        <w:pStyle w:val="BodyText"/>
      </w:pPr>
    </w:p>
    <w:p w:rsidR="00F97DF3" w:rsidRDefault="00F97DF3" w:rsidP="00F97DF3">
      <w:pPr>
        <w:pStyle w:val="BodyText"/>
        <w:jc w:val="center"/>
      </w:pPr>
      <w:r w:rsidRPr="00705832">
        <w:rPr>
          <w:noProof/>
        </w:rPr>
        <w:drawing>
          <wp:inline distT="0" distB="0" distL="0" distR="0" wp14:anchorId="2DB7DAEB" wp14:editId="015646D0">
            <wp:extent cx="4297680" cy="321868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3218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DF3" w:rsidRDefault="00F97DF3" w:rsidP="00F97DF3">
      <w:pPr>
        <w:pStyle w:val="BodyText"/>
        <w:numPr>
          <w:ilvl w:val="0"/>
          <w:numId w:val="4"/>
        </w:numPr>
        <w:jc w:val="center"/>
      </w:pPr>
      <w:r>
        <w:t>PDCCH payload size = 24 bits</w:t>
      </w:r>
    </w:p>
    <w:p w:rsidR="00F97DF3" w:rsidRDefault="00F97DF3" w:rsidP="00F97DF3">
      <w:pPr>
        <w:pStyle w:val="BodyText"/>
        <w:jc w:val="center"/>
      </w:pPr>
      <w:r w:rsidRPr="00421379">
        <w:rPr>
          <w:noProof/>
        </w:rPr>
        <w:drawing>
          <wp:inline distT="0" distB="0" distL="0" distR="0" wp14:anchorId="65E73A14" wp14:editId="72AC0B06">
            <wp:extent cx="4297680" cy="321868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3218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DF3" w:rsidRDefault="00F97DF3" w:rsidP="00F97DF3">
      <w:pPr>
        <w:pStyle w:val="BodyText"/>
        <w:numPr>
          <w:ilvl w:val="0"/>
          <w:numId w:val="4"/>
        </w:numPr>
        <w:jc w:val="center"/>
      </w:pPr>
      <w:r>
        <w:t>PDCCH payload size = 64 bits</w:t>
      </w:r>
    </w:p>
    <w:p w:rsidR="00F97DF3" w:rsidRDefault="00F97DF3" w:rsidP="00F97DF3">
      <w:pPr>
        <w:pStyle w:val="BodyText"/>
        <w:ind w:left="1664"/>
        <w:jc w:val="center"/>
      </w:pPr>
      <w:r>
        <w:t>Figure 1: PDCCH link performance with TDL-A channel with 100ns RMS delay spread</w:t>
      </w:r>
    </w:p>
    <w:p w:rsidR="00F97DF3" w:rsidRDefault="00F97DF3" w:rsidP="00F97DF3">
      <w:pPr>
        <w:pStyle w:val="BodyText"/>
      </w:pPr>
    </w:p>
    <w:p w:rsidR="00F97DF3" w:rsidRDefault="00F97DF3" w:rsidP="00F97DF3">
      <w:pPr>
        <w:pStyle w:val="BodyText"/>
      </w:pPr>
    </w:p>
    <w:p w:rsidR="00F97DF3" w:rsidRDefault="00F97DF3" w:rsidP="00F97DF3">
      <w:pPr>
        <w:pStyle w:val="BodyText"/>
      </w:pPr>
    </w:p>
    <w:p w:rsidR="00F97DF3" w:rsidRDefault="00F97DF3" w:rsidP="00F97DF3">
      <w:pPr>
        <w:pStyle w:val="BodyText"/>
        <w:jc w:val="center"/>
      </w:pPr>
      <w:r w:rsidRPr="00421379">
        <w:rPr>
          <w:noProof/>
        </w:rPr>
        <w:drawing>
          <wp:inline distT="0" distB="0" distL="0" distR="0" wp14:anchorId="4D2FD0DA" wp14:editId="3E6C15C9">
            <wp:extent cx="4297680" cy="321868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3218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DF3" w:rsidRDefault="00F97DF3" w:rsidP="00F97DF3">
      <w:pPr>
        <w:pStyle w:val="BodyText"/>
        <w:numPr>
          <w:ilvl w:val="0"/>
          <w:numId w:val="5"/>
        </w:numPr>
        <w:jc w:val="center"/>
      </w:pPr>
      <w:r>
        <w:t>PDCCH payload size = 24 bits</w:t>
      </w:r>
    </w:p>
    <w:p w:rsidR="00F97DF3" w:rsidRDefault="00F97DF3" w:rsidP="00F97DF3">
      <w:pPr>
        <w:pStyle w:val="BodyText"/>
        <w:jc w:val="center"/>
      </w:pPr>
    </w:p>
    <w:p w:rsidR="00F97DF3" w:rsidRDefault="00F97DF3" w:rsidP="00F97DF3">
      <w:pPr>
        <w:pStyle w:val="BodyText"/>
        <w:jc w:val="center"/>
      </w:pPr>
      <w:r w:rsidRPr="00421379">
        <w:rPr>
          <w:noProof/>
        </w:rPr>
        <w:drawing>
          <wp:inline distT="0" distB="0" distL="0" distR="0" wp14:anchorId="538C8AA6" wp14:editId="51AFD8D9">
            <wp:extent cx="4297680" cy="321868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3218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DF3" w:rsidRDefault="00F97DF3" w:rsidP="00F97DF3">
      <w:pPr>
        <w:pStyle w:val="BodyText"/>
        <w:numPr>
          <w:ilvl w:val="0"/>
          <w:numId w:val="5"/>
        </w:numPr>
        <w:jc w:val="center"/>
      </w:pPr>
      <w:r>
        <w:t>PDCCH payload size = 64 bits</w:t>
      </w:r>
    </w:p>
    <w:p w:rsidR="00F97DF3" w:rsidRDefault="00F97DF3" w:rsidP="00F97DF3">
      <w:pPr>
        <w:pStyle w:val="BodyText"/>
        <w:ind w:left="1664"/>
        <w:jc w:val="center"/>
      </w:pPr>
      <w:r>
        <w:t>Figure 2: PDCCH link performance with TDL-A channel with 1000ns RMS delay spread</w:t>
      </w:r>
    </w:p>
    <w:p w:rsidR="00F97DF3" w:rsidRDefault="00F97DF3" w:rsidP="00F97DF3">
      <w:pPr>
        <w:pStyle w:val="BodyText"/>
        <w:ind w:left="1664"/>
        <w:jc w:val="center"/>
      </w:pPr>
    </w:p>
    <w:p w:rsidR="00F97DF3" w:rsidRDefault="00F97DF3" w:rsidP="00F97DF3">
      <w:pPr>
        <w:pStyle w:val="BodyText"/>
        <w:rPr>
          <w:b/>
        </w:rPr>
      </w:pPr>
      <w:r w:rsidRPr="00712CF0">
        <w:rPr>
          <w:b/>
        </w:rPr>
        <w:t>Observation</w:t>
      </w:r>
      <w:r>
        <w:rPr>
          <w:b/>
        </w:rPr>
        <w:t>s</w:t>
      </w:r>
      <w:r w:rsidRPr="00712CF0">
        <w:rPr>
          <w:b/>
        </w:rPr>
        <w:t>:</w:t>
      </w:r>
    </w:p>
    <w:p w:rsidR="00F97DF3" w:rsidRPr="003A6C35" w:rsidRDefault="00F97DF3" w:rsidP="00F97DF3">
      <w:pPr>
        <w:pStyle w:val="BodyText"/>
        <w:numPr>
          <w:ilvl w:val="0"/>
          <w:numId w:val="6"/>
        </w:numPr>
      </w:pPr>
      <w:r w:rsidRPr="003A6C35">
        <w:t>The link performance of both time spreading and frequency spreading is similar for</w:t>
      </w:r>
      <w:r>
        <w:t xml:space="preserve"> a DCI size and a code rate. </w:t>
      </w:r>
    </w:p>
    <w:p w:rsidR="00F97DF3" w:rsidRPr="00222F55" w:rsidRDefault="00F97DF3" w:rsidP="00F97DF3">
      <w:pPr>
        <w:pStyle w:val="Heading1"/>
        <w:spacing w:before="180"/>
        <w:ind w:left="562" w:hanging="562"/>
      </w:pPr>
      <w:r>
        <w:lastRenderedPageBreak/>
        <w:t>Conclusion</w:t>
      </w:r>
    </w:p>
    <w:p w:rsidR="00F97DF3" w:rsidRPr="00222F55" w:rsidRDefault="00F97DF3" w:rsidP="00F97DF3">
      <w:pPr>
        <w:pStyle w:val="BodyText"/>
      </w:pPr>
      <w:r w:rsidRPr="00387A62">
        <w:t>Aggregation in time is equivalent to aggregation in frequency</w:t>
      </w:r>
      <w:r>
        <w:t xml:space="preserve"> assuming a constant power-spectral density.</w:t>
      </w:r>
    </w:p>
    <w:p w:rsidR="00F97DF3" w:rsidRDefault="00F97DF3" w:rsidP="00F97DF3">
      <w:pPr>
        <w:pStyle w:val="Heading1"/>
        <w:ind w:left="567"/>
      </w:pPr>
      <w:r>
        <w:t>References</w:t>
      </w:r>
    </w:p>
    <w:p w:rsidR="00F97DF3" w:rsidRDefault="00F97DF3" w:rsidP="00F97DF3">
      <w:pPr>
        <w:pStyle w:val="BodyText"/>
      </w:pPr>
    </w:p>
    <w:p w:rsidR="00F97DF3" w:rsidRPr="00222F55" w:rsidRDefault="00F97DF3" w:rsidP="00F97DF3">
      <w:pPr>
        <w:pStyle w:val="BodyText"/>
      </w:pPr>
      <w:r>
        <w:t>[1]      R1-1609619, “On downlink control channels”, TSG-RAN WG1#86bis, Portugal, October 10-14, 2016.</w:t>
      </w:r>
    </w:p>
    <w:p w:rsidR="00F97DF3" w:rsidRDefault="00F97DF3" w:rsidP="00F97DF3">
      <w:pPr>
        <w:pStyle w:val="BodyText"/>
      </w:pPr>
      <w:r>
        <w:t xml:space="preserve">[2]      TSG-RAN WG1#86bis, Chairman’s notes. </w:t>
      </w:r>
    </w:p>
    <w:p w:rsidR="00F97DF3" w:rsidRPr="00222F55" w:rsidRDefault="00F97DF3" w:rsidP="00F97DF3">
      <w:pPr>
        <w:pStyle w:val="BodyText"/>
      </w:pPr>
      <w:r w:rsidRPr="005D3C9B">
        <w:t>[3]      R1-1612912, “On downlink control channel duration”, TSG-RAN WG1#87, US, November 14-18, 2016.</w:t>
      </w:r>
    </w:p>
    <w:p w:rsidR="00C1560A" w:rsidRDefault="00C1560A"/>
    <w:sectPr w:rsidR="00C1560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F57" w:rsidRDefault="00F97DF3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6E5F8C"/>
    <w:multiLevelType w:val="hybridMultilevel"/>
    <w:tmpl w:val="5340441C"/>
    <w:lvl w:ilvl="0" w:tplc="FFBC7664">
      <w:start w:val="1"/>
      <w:numFmt w:val="lowerLetter"/>
      <w:lvlText w:val="(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65F836F5"/>
    <w:multiLevelType w:val="hybridMultilevel"/>
    <w:tmpl w:val="5340441C"/>
    <w:lvl w:ilvl="0" w:tplc="FFBC7664">
      <w:start w:val="1"/>
      <w:numFmt w:val="lowerLetter"/>
      <w:lvlText w:val="(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" w15:restartNumberingAfterBreak="0">
    <w:nsid w:val="6BD526DE"/>
    <w:multiLevelType w:val="hybridMultilevel"/>
    <w:tmpl w:val="75C8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3"/>
    <w:rsid w:val="0034475B"/>
    <w:rsid w:val="006A286A"/>
    <w:rsid w:val="008A0342"/>
    <w:rsid w:val="00B368D9"/>
    <w:rsid w:val="00C1560A"/>
    <w:rsid w:val="00C62894"/>
    <w:rsid w:val="00D577BB"/>
    <w:rsid w:val="00F92325"/>
    <w:rsid w:val="00F9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72F306C-709B-4BA9-8183-795B1045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97DF3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97DF3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97DF3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97DF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97DF3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97DF3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97DF3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rsid w:val="00F97DF3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97DF3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97DF3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97DF3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97DF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97DF3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rsid w:val="00F97DF3"/>
    <w:pPr>
      <w:spacing w:after="0" w:line="240" w:lineRule="auto"/>
    </w:pPr>
    <w:rPr>
      <w:rFonts w:ascii="CG Times (WN)" w:hAnsi="CG Times (WN)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1</cp:revision>
  <dcterms:created xsi:type="dcterms:W3CDTF">2016-11-04T12:44:00Z</dcterms:created>
  <dcterms:modified xsi:type="dcterms:W3CDTF">2016-11-04T12:45:00Z</dcterms:modified>
</cp:coreProperties>
</file>